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backly.it</w:t>
      </w:r>
    </w:p>
    <w:p>
      <w:pPr>
        <w:spacing w:after="80"/>
      </w:pPr>
      <w:r>
        <w:rPr>
          <w:rFonts w:ascii="Arial" w:cs="Arial" w:eastAsia="Arial" w:hAnsi="Arial"/>
          <w:color w:val="333333"/>
          <w:sz w:val="28"/>
          <w:szCs w:val="28"/>
        </w:rPr>
        <w:t xml:space="preserve">Guida Tecnica per lo Sviluppatore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Versione 6.0 — Addendum Sessione 21 Marzo 2026</w:t>
      </w:r>
    </w:p>
    <w:p>
      <w:pPr>
        <w:spacing w:after="3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MCL Media SRL — P.IVA 07112130823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Questo documento integra le Guide v1–v5 con tutte le novità della sessione del 21 marzo 2026: analisi completa costi DataForSEO, attivazione Backlinks API, nuovi piani Beta con pricing verificato, algoritmo Backly Authority (BA) 0-100, 9 nuovi endpoint DataForSEO, ottimizzazione keyword tracking depth=10, KeywordResearchService, e ristrutturazione completa del servizio Monitor.</w:t>
      </w:r>
    </w:p>
    <w:p>
      <w:pPr>
        <w:pStyle w:val="Heading1"/>
      </w:pPr>
      <w:r>
        <w:t xml:space="preserve">22. Analisi Costi DataForSEO — Verificati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Tutti i costi sono stati verificati con chiamate API reali il 21/03/2026. DataForSEO è in modalità pay-as-you-go puro (nessun minimo mensile fisso). Backlinks API richiede ricarica $100/mese che va nel balance spendibile su qualsiasi API.</w:t>
      </w:r>
    </w:p>
    <w:p>
      <w:pPr>
        <w:pStyle w:val="Heading2"/>
      </w:pPr>
      <w:r>
        <w:t xml:space="preserve">22.1 Costi per Endpoint (verificati)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450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Endpoint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Costo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SERP Live depth=10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$0.002/kw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Keyword tracking ottimizzato (era $0.0155 con depth=100)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SERP Live depth=100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$0.0155/kw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NON PIÙ USATO — ridotto a depth=10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Backlinks Summary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$0.02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include_subdomains=true (fix applicato)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Backlinks List (new/lost)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$0.02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 lista new/lost backlinks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Anchors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$0.02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Distribuzione anchor text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Referring Domains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$0.02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Lista domini referenti dettagliata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Backlink Competitors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$0.02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Discovery competitor basato su backlink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Ranked Keywords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$0.02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Keyword posizionate del dominio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Keyword Ideas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$0.011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Keyword correlate con volume/CPC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Bulk Keyword Difficulty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$0.01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Score difficoltà batch fino a 1000 kw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Domain Rank Overview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$0.01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Overview aggregata ranking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Competitors Domain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$0.0105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Auto-discovery competitor organici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Domain Intersection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$0.0105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Keyword gap analysis tra 2 domini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Lighthouse Audit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$0.004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Performance, SEO, Accessibility, Best Practices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Backlinks History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$0.00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Trend storico (gratis per piccoli siti)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Appendix/user_data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$0.00</w:t>
            </w:r>
          </w:p>
        </w:tc>
        <w:tc>
          <w:tcPr>
            <w:tcW w:type="dxa" w:w="4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Balance check gratuito</w:t>
            </w:r>
          </w:p>
        </w:tc>
      </w:tr>
    </w:tbl>
    <w:p>
      <w:pPr>
        <w:pStyle w:val="Heading1"/>
      </w:pPr>
      <w:r>
        <w:t xml:space="preserve">23. Piani Beta — Nuova Struttura Prezzi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I piani sono stati ristrutturati sulla base dei costi API reali verificati. Ogni piano include Backly Authority (BA), Health Score e AI Insight. GP WordPress: €19 Self/AI, €49 DFY. GP non-WordPress: pricing per fascia ZA.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800"/>
        <w:gridCol w:w="800"/>
        <w:gridCol w:w="800"/>
        <w:gridCol w:w="900"/>
        <w:gridCol w:w="900"/>
        <w:gridCol w:w="800"/>
        <w:gridCol w:w="1000"/>
        <w:gridCol w:w="900"/>
        <w:gridCol w:w="1006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Piano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Prezzo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Prog.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KW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Comp.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Ricerche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Scan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Costo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Margine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Starter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€9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 incl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base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€0.40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96%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Business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€29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 incl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deep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€1.08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96%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Premium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€69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 incl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deep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€1.69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98%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Freelancer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€19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15% sc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base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€2.36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88%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Agency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€49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3/pr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1000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25% sc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deep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€12.58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74%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Enterprise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€99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5/pr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10000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35% sc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deep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€44.56</w:t>
            </w:r>
          </w:p>
        </w:tc>
        <w:tc>
          <w:tcPr>
            <w:tcW w:type="dxa" w:w="1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55%</w:t>
            </w:r>
          </w:p>
        </w:tc>
      </w:tr>
    </w:tbl>
    <w:p>
      <w:pPr>
        <w:spacing w:after="200" w:before="10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Progetto extra (Agency/Enterprise): €2.99/mese (costo API ~€0.92, margine 69%)</w:t>
      </w:r>
    </w:p>
    <w:p>
      <w:pPr>
        <w:pStyle w:val="Heading1"/>
      </w:pPr>
      <w:r>
        <w:t xml:space="preserve">24. Backly Authority (BA) — Algoritmo 0-100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Metrica proprietaria Backly, 100% basata su dati DataForSEO. Nessuna dipendenza da SEOZoom, Moz DA o Ahrefs DR. Si calcola durante lo scan settimanale senza costi aggiuntivi (i dati sono già recuperati). Costo standalone: ~$0.044/dominio.</w:t>
      </w:r>
    </w:p>
    <w:p>
      <w:pPr>
        <w:pStyle w:val="Heading2"/>
      </w:pPr>
      <w:r>
        <w:t xml:space="preserve">24.1 Componenti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630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Componente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Max pt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Metriche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Link Profile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40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Domain Rank (20), Referring Domains log10 (12), IP diversity (4), Dofollow ratio (4)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Organic Visibility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35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Ranked KW log10 (12), KW top 10 (10), Organic ETV log10 (8), KW diversity (5)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Trust Signals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15 base - spam penalty (10) - broken ratio (3) + subnet bonus (3) + growth trend (2)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Technical Quality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Lighthouse performance (3), SEO score (4), best practices (3). Default 5/10 se no data</w:t>
            </w:r>
          </w:p>
        </w:tc>
      </w:tr>
    </w:tbl>
    <w:p>
      <w:pPr>
        <w:pStyle w:val="Heading2"/>
      </w:pPr>
      <w:r>
        <w:t xml:space="preserve">24.2 File: BacklyAuthorityService.php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app/Services/BacklyAuthorityService.php — Metodi principali: calculate(array $data), calculateFromSnapshot($snapshot, ?array $lighthouse), calculateForDomain(string $domain) per analisi standalone. Labels: Eccellente (80+), Forte (60+), Buono (40+), In crescita (25+), Da migliorare (10+), Debole (&lt;10).</w:t>
      </w:r>
    </w:p>
    <w:p>
      <w:pPr>
        <w:pStyle w:val="Heading1"/>
      </w:pPr>
      <w:r>
        <w:t xml:space="preserve">25. Nuovi Endpoint DataForSEO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DataForSeoService.php riscritto con 9 nuovi metodi. Fix critici: include_subdomains=true su tutti gli endpoint Backlinks, depth=10 nel keyword tracking (risparmio 87%), timeout aumentato a 120s.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getReferringDomains($domain, $limit) — $0.02 — Lista dettagliata domini linkanti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getBacklinkCompetitors($domain, $limit) — $0.02 — Discovery competitor basato su backlink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getKeywordIdeas($keywords, $limit) — $0.011 — Keyword correlate con volume/CPC/difficulty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getBulkKeywordDifficulty($keywords) — $0.01 — Score difficoltà batch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getDomainRankOverview($domain) — $0.01 — Overview aggregata ranking organico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getCompetitorsDomain($domain, $limit) — $0.01 — Auto-discovery competitor organici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getDomainIntersection($domain1, $domain2) — $0.01 — Keyword gap analysis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getLighthouseAudit($domain) — $0.004 — Audit tecnico (performance, SEO, BP, accessibility)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getBacklinksHistory($domain) — ~$0.00 — Trend storico backlink</w:t>
      </w:r>
    </w:p>
    <w:p>
      <w:pPr>
        <w:pStyle w:val="Heading1"/>
      </w:pPr>
      <w:r>
        <w:t xml:space="preserve">26. KeywordResearchService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app/Services/KeywordResearchService.php — Gestisce ricerche keyword con quota mensile per piano. Metodi: research($user, $seedKeywords, $limit, $projectId) e keywordGap($user, $domain1, $domain2, $limit). Consuma crediti dal campo keyword_research_used della subscription. Log in tabella keyword_research_logs.</w:t>
      </w:r>
    </w:p>
    <w:p>
      <w:pPr>
        <w:pStyle w:val="Heading1"/>
      </w:pPr>
      <w:r>
        <w:t xml:space="preserve">27. Migration 2026_03_21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Nuovi campi monitor_snapshots: ba_score (tinyint), ba_components (JSON), lighthouse_data (JSON), referring_domains_list (JSON), backlink_competitors (JSON), domain_rank_overview (JSON), competitors_auto (JSON). Nuovi campi monitor_subscriptions: keyword_research_used, keyword_research_limit. Nuova tabella: keyword_research_logs (id, user_id, project_id, seed_keywords, results, results_count, api_cost, timestamps).</w:t>
      </w:r>
    </w:p>
    <w:p>
      <w:pPr>
        <w:pStyle w:val="Heading1"/>
      </w:pPr>
      <w:r>
        <w:t xml:space="preserve">28. PricingService Aggiornato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GP WordPress (rete MCL): €19 Self-Service, €19 AI-Assisted, €49 Done-for-You. Prezzo unico indipendente dalla ZA. GP non-WordPress: pricing per fascia ZA (ZA&lt;20: €19/49, ZA 20-29: €35/79, ZA 30-39: €55/119, ZA 40-49: €79/169, ZA 50+: €119/249).</w:t>
      </w:r>
    </w:p>
    <w:p>
      <w:pPr>
        <w:pStyle w:val="Heading1"/>
      </w:pPr>
      <w:r>
        <w:t xml:space="preserve">29. DataForSEO Account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Balance: $149.54 (post test). Backlinks API attivata ($100 commitment mensile = deposito nel balance). LLM Mentions API: trial attivata ma non funzionante per mercato italiano (dati solo US/EN). Da riattivare quando i dati IT saranno disponibili. Deposito mensile previsto: $200 (Backlinks + LLM Mentions quando attivo).</w:t>
      </w:r>
    </w:p>
    <w:p>
      <w:pPr>
        <w:spacing w:before="400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Backly.it — MCL Media SRL — P.IVA 07112130823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</w:pPr>
    <w:rPr>
      <w:rFonts w:ascii="Arial" w:cs="Arial" w:eastAsia="Arial" w:hAnsi="Arial"/>
      <w:b/>
      <w:bCs/>
      <w:color w:val="1E3A5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2026-03-21T09:53:10.778Z</dcterms:created>
  <dcterms:modified xsi:type="dcterms:W3CDTF">2026-03-21T09:53:10.779Z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